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79C25" w14:textId="4599555B" w:rsidR="00D64773" w:rsidRPr="00016B25" w:rsidRDefault="00000000">
      <w:pPr>
        <w:pStyle w:val="Body"/>
        <w:rPr>
          <w:rFonts w:asciiTheme="minorHAnsi" w:eastAsia="GT Cinetype Trial Rg" w:hAnsiTheme="minorHAnsi" w:cs="GT Cinetype Trial Rg"/>
          <w:color w:val="7030A0"/>
          <w:sz w:val="58"/>
          <w:szCs w:val="58"/>
        </w:rPr>
      </w:pPr>
      <w:r w:rsidRPr="00016B25">
        <w:rPr>
          <w:rFonts w:asciiTheme="minorHAnsi" w:hAnsiTheme="minorHAnsi"/>
          <w:color w:val="7030A0"/>
          <w:sz w:val="58"/>
          <w:szCs w:val="58"/>
        </w:rPr>
        <w:t>Morphology of Miracles</w:t>
      </w:r>
      <w:r w:rsidRPr="00016B25">
        <w:rPr>
          <w:rFonts w:asciiTheme="minorHAnsi" w:eastAsia="GT Cinetype Trial Rg" w:hAnsiTheme="minorHAnsi" w:cs="GT Cinetype Trial Rg"/>
          <w:noProof/>
          <w:color w:val="7030A0"/>
          <w:sz w:val="58"/>
          <w:szCs w:val="58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7DBDFF4D" wp14:editId="7CF82694">
                <wp:simplePos x="0" y="0"/>
                <wp:positionH relativeFrom="margin">
                  <wp:posOffset>6350</wp:posOffset>
                </wp:positionH>
                <wp:positionV relativeFrom="line">
                  <wp:posOffset>506695</wp:posOffset>
                </wp:positionV>
                <wp:extent cx="6838913" cy="0"/>
                <wp:effectExtent l="0" t="0" r="0" b="0"/>
                <wp:wrapNone/>
                <wp:docPr id="1073741825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13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929292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0.5pt;margin-top:39.9pt;width:538.5pt;height:0.0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929292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  <w:r w:rsidR="00D2723B">
        <w:rPr>
          <w:rFonts w:asciiTheme="minorHAnsi" w:hAnsiTheme="minorHAnsi"/>
          <w:color w:val="7030A0"/>
          <w:sz w:val="58"/>
          <w:szCs w:val="58"/>
        </w:rPr>
        <w:t xml:space="preserve"> #2</w:t>
      </w:r>
    </w:p>
    <w:p w14:paraId="4B6DF050" w14:textId="77777777" w:rsidR="00D64773" w:rsidRPr="00016B25" w:rsidRDefault="00D64773">
      <w:pPr>
        <w:pStyle w:val="Body"/>
        <w:rPr>
          <w:rFonts w:asciiTheme="minorHAnsi" w:eastAsia="GT Cinetype Trial Rg" w:hAnsiTheme="minorHAnsi" w:cs="GT Cinetype Trial Rg"/>
          <w:sz w:val="24"/>
          <w:szCs w:val="24"/>
        </w:rPr>
      </w:pPr>
    </w:p>
    <w:p w14:paraId="53A901BB" w14:textId="77777777" w:rsidR="00D64773" w:rsidRPr="00016B25" w:rsidRDefault="00D64773">
      <w:pPr>
        <w:pStyle w:val="Body"/>
        <w:rPr>
          <w:rFonts w:asciiTheme="minorHAnsi" w:eastAsia="GT Cinetype Trial Rg" w:hAnsiTheme="minorHAnsi" w:cs="GT Cinetype Trial Rg"/>
          <w:sz w:val="24"/>
          <w:szCs w:val="24"/>
        </w:rPr>
      </w:pPr>
    </w:p>
    <w:p w14:paraId="4001F8CA" w14:textId="18FC7E38" w:rsidR="00D64773" w:rsidRPr="00016B25" w:rsidRDefault="00000000">
      <w:pPr>
        <w:pStyle w:val="Body"/>
        <w:rPr>
          <w:rFonts w:asciiTheme="minorHAnsi" w:eastAsia="GT Cinetype Trial Rg" w:hAnsiTheme="minorHAnsi" w:cs="GT Cinetype Trial Rg"/>
          <w:b/>
          <w:bCs/>
          <w:sz w:val="24"/>
          <w:szCs w:val="24"/>
        </w:rPr>
      </w:pPr>
      <w:r w:rsidRPr="00016B25">
        <w:rPr>
          <w:rFonts w:asciiTheme="minorHAnsi" w:hAnsiTheme="minorHAnsi"/>
          <w:b/>
          <w:bCs/>
          <w:sz w:val="24"/>
          <w:szCs w:val="24"/>
        </w:rPr>
        <w:t>Experimentelle Musik zwischen interaktiven Spielpartituren, Doom-Metal Suiten und gespenstiger Seifenoper.</w:t>
      </w:r>
    </w:p>
    <w:p w14:paraId="26B2381F" w14:textId="2982DD39" w:rsidR="00D64773" w:rsidRPr="00016B25" w:rsidRDefault="00070AA8">
      <w:pPr>
        <w:pStyle w:val="Body"/>
        <w:rPr>
          <w:rFonts w:asciiTheme="minorHAnsi" w:eastAsia="GT Cinetype Trial Rg" w:hAnsiTheme="minorHAnsi" w:cs="GT Cinetype Trial Rg"/>
          <w:sz w:val="24"/>
          <w:szCs w:val="24"/>
        </w:rPr>
      </w:pPr>
      <w:r w:rsidRPr="00016B25">
        <w:rPr>
          <w:rFonts w:asciiTheme="minorHAnsi" w:eastAsia="GT Cinetype Trial Rg" w:hAnsiTheme="minorHAnsi" w:cs="GT Cinetype Trial Rg"/>
          <w:b/>
          <w:bCs/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56ECF479" wp14:editId="1E81CE2E">
                <wp:simplePos x="0" y="0"/>
                <wp:positionH relativeFrom="margin">
                  <wp:posOffset>-11429</wp:posOffset>
                </wp:positionH>
                <wp:positionV relativeFrom="line">
                  <wp:posOffset>107315</wp:posOffset>
                </wp:positionV>
                <wp:extent cx="6797040" cy="0"/>
                <wp:effectExtent l="0" t="0" r="0" b="0"/>
                <wp:wrapNone/>
                <wp:docPr id="1073741826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929292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144588" id="officeArt object" o:spid="_x0000_s1026" alt="Line" style="position:absolute;flip:y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" from="-.9pt,8.45pt" to="534.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" strokecolor="#929292" strokeweight="1pt">
                <v:stroke miterlimit="4" joinstyle="miter"/>
                <w10:wrap anchorx="margin" anchory="line"/>
              </v:line>
            </w:pict>
          </mc:Fallback>
        </mc:AlternateContent>
      </w:r>
    </w:p>
    <w:p w14:paraId="1E1FD5D4" w14:textId="77777777" w:rsidR="00D64773" w:rsidRPr="00016B25" w:rsidRDefault="00000000">
      <w:pPr>
        <w:pStyle w:val="Body"/>
        <w:rPr>
          <w:rFonts w:asciiTheme="minorHAnsi" w:eastAsia="Avenir Medium" w:hAnsiTheme="minorHAnsi" w:cs="Avenir Medium"/>
          <w:color w:val="7030A0"/>
          <w:sz w:val="24"/>
          <w:szCs w:val="24"/>
        </w:rPr>
      </w:pPr>
      <w:r w:rsidRPr="00016B25">
        <w:rPr>
          <w:rFonts w:asciiTheme="minorHAnsi" w:hAnsiTheme="minorHAnsi"/>
          <w:color w:val="7030A0"/>
          <w:sz w:val="24"/>
          <w:szCs w:val="24"/>
        </w:rPr>
        <w:t>RAMPE ( Gerhardtstraße 3, 30167 Hannover )</w:t>
      </w:r>
    </w:p>
    <w:p w14:paraId="465AF451" w14:textId="77777777" w:rsidR="00D64773" w:rsidRPr="00016B25" w:rsidRDefault="00D64773">
      <w:pPr>
        <w:pStyle w:val="Body"/>
        <w:rPr>
          <w:rFonts w:asciiTheme="minorHAnsi" w:eastAsia="Avenir Medium" w:hAnsiTheme="minorHAnsi" w:cs="Avenir Medium"/>
          <w:color w:val="7030A0"/>
          <w:sz w:val="24"/>
          <w:szCs w:val="24"/>
        </w:rPr>
      </w:pPr>
    </w:p>
    <w:p w14:paraId="17356BAA" w14:textId="22B87FEB" w:rsidR="00D64773" w:rsidRPr="00016B25" w:rsidRDefault="00000000">
      <w:pPr>
        <w:pStyle w:val="Body"/>
        <w:rPr>
          <w:rFonts w:asciiTheme="minorHAnsi" w:eastAsia="Avenir Medium" w:hAnsiTheme="minorHAnsi" w:cs="Avenir Medium"/>
          <w:color w:val="7030A0"/>
          <w:sz w:val="24"/>
          <w:szCs w:val="24"/>
        </w:rPr>
      </w:pPr>
      <w:r w:rsidRPr="00016B25">
        <w:rPr>
          <w:rFonts w:asciiTheme="minorHAnsi" w:hAnsiTheme="minorHAnsi"/>
          <w:color w:val="7030A0"/>
          <w:sz w:val="24"/>
          <w:szCs w:val="24"/>
        </w:rPr>
        <w:t>Fr. 10.</w:t>
      </w:r>
      <w:r w:rsidR="00C04520">
        <w:rPr>
          <w:rFonts w:asciiTheme="minorHAnsi" w:hAnsiTheme="minorHAnsi"/>
          <w:color w:val="7030A0"/>
          <w:sz w:val="24"/>
          <w:szCs w:val="24"/>
        </w:rPr>
        <w:t xml:space="preserve"> </w:t>
      </w:r>
      <w:r w:rsidRPr="00016B25">
        <w:rPr>
          <w:rFonts w:asciiTheme="minorHAnsi" w:hAnsiTheme="minorHAnsi"/>
          <w:color w:val="7030A0"/>
          <w:sz w:val="24"/>
          <w:szCs w:val="24"/>
        </w:rPr>
        <w:t>Juli</w:t>
      </w:r>
      <w:r w:rsidR="003E2259">
        <w:rPr>
          <w:rFonts w:asciiTheme="minorHAnsi" w:eastAsia="Avenir Medium" w:hAnsiTheme="minorHAnsi" w:cs="Avenir Medium"/>
          <w:color w:val="7030A0"/>
          <w:sz w:val="24"/>
          <w:szCs w:val="24"/>
        </w:rPr>
        <w:t xml:space="preserve">, </w:t>
      </w:r>
      <w:r w:rsidR="003E2259">
        <w:rPr>
          <w:rFonts w:asciiTheme="minorHAnsi" w:eastAsia="Avenir Medium" w:hAnsiTheme="minorHAnsi" w:cs="Avenir Medium"/>
          <w:color w:val="7030A0"/>
          <w:sz w:val="24"/>
          <w:szCs w:val="24"/>
        </w:rPr>
        <w:br/>
      </w:r>
      <w:r w:rsidR="003E2259">
        <w:rPr>
          <w:rFonts w:asciiTheme="minorHAnsi" w:hAnsiTheme="minorHAnsi"/>
          <w:color w:val="7030A0"/>
          <w:sz w:val="24"/>
          <w:szCs w:val="24"/>
        </w:rPr>
        <w:t>B</w:t>
      </w:r>
      <w:r w:rsidRPr="00016B25">
        <w:rPr>
          <w:rFonts w:asciiTheme="minorHAnsi" w:hAnsiTheme="minorHAnsi"/>
          <w:color w:val="7030A0"/>
          <w:sz w:val="24"/>
          <w:szCs w:val="24"/>
        </w:rPr>
        <w:t>eginn: 19:30</w:t>
      </w:r>
    </w:p>
    <w:p w14:paraId="777013A6" w14:textId="3CC40A09" w:rsidR="00D64773" w:rsidRDefault="00000000">
      <w:pPr>
        <w:pStyle w:val="Body"/>
        <w:rPr>
          <w:rFonts w:asciiTheme="minorHAnsi" w:hAnsiTheme="minorHAnsi"/>
          <w:color w:val="7030A0"/>
          <w:sz w:val="24"/>
          <w:szCs w:val="24"/>
        </w:rPr>
      </w:pPr>
      <w:r w:rsidRPr="00016B25">
        <w:rPr>
          <w:rFonts w:asciiTheme="minorHAnsi" w:hAnsiTheme="minorHAnsi"/>
          <w:color w:val="7030A0"/>
          <w:sz w:val="24"/>
          <w:szCs w:val="24"/>
        </w:rPr>
        <w:t>Eintritt: Abendkarte: 15€</w:t>
      </w:r>
      <w:r w:rsidR="007A519F" w:rsidRPr="00016B25">
        <w:rPr>
          <w:rFonts w:asciiTheme="minorHAnsi" w:hAnsiTheme="minorHAnsi"/>
          <w:color w:val="7030A0"/>
          <w:sz w:val="24"/>
          <w:szCs w:val="24"/>
        </w:rPr>
        <w:t xml:space="preserve">  </w:t>
      </w:r>
    </w:p>
    <w:p w14:paraId="7A519828" w14:textId="5950C3DE" w:rsidR="00D2723B" w:rsidRPr="00016B25" w:rsidRDefault="00D2723B">
      <w:pPr>
        <w:pStyle w:val="Body"/>
        <w:rPr>
          <w:rFonts w:asciiTheme="minorHAnsi" w:eastAsia="Avenir Medium" w:hAnsiTheme="minorHAnsi" w:cs="Avenir Medium"/>
          <w:color w:val="7030A0"/>
          <w:sz w:val="24"/>
          <w:szCs w:val="24"/>
        </w:rPr>
      </w:pPr>
      <w:r>
        <w:rPr>
          <w:rFonts w:asciiTheme="minorHAnsi" w:hAnsiTheme="minorHAnsi"/>
          <w:color w:val="7030A0"/>
          <w:sz w:val="24"/>
          <w:szCs w:val="24"/>
        </w:rPr>
        <w:t>(zusammen mit Veranstaltung am 11. Juni: 2</w:t>
      </w:r>
      <w:r w:rsidRPr="00016B25">
        <w:rPr>
          <w:rFonts w:asciiTheme="minorHAnsi" w:hAnsiTheme="minorHAnsi"/>
          <w:color w:val="7030A0"/>
          <w:sz w:val="24"/>
          <w:szCs w:val="24"/>
        </w:rPr>
        <w:t>5€</w:t>
      </w:r>
      <w:r w:rsidR="00DF3862">
        <w:rPr>
          <w:rFonts w:asciiTheme="minorHAnsi" w:hAnsiTheme="minorHAnsi"/>
          <w:color w:val="7030A0"/>
          <w:sz w:val="24"/>
          <w:szCs w:val="24"/>
        </w:rPr>
        <w:t>)</w:t>
      </w:r>
    </w:p>
    <w:p w14:paraId="21AEBEAB" w14:textId="77777777" w:rsidR="00D64773" w:rsidRPr="00016B25" w:rsidRDefault="00000000">
      <w:pPr>
        <w:pStyle w:val="Body"/>
        <w:rPr>
          <w:rFonts w:asciiTheme="minorHAnsi" w:eastAsia="Avenir Medium" w:hAnsiTheme="minorHAnsi" w:cs="Avenir Medium"/>
          <w:color w:val="7030A0"/>
          <w:sz w:val="24"/>
          <w:szCs w:val="24"/>
        </w:rPr>
      </w:pPr>
      <w:r w:rsidRPr="00016B25">
        <w:rPr>
          <w:rFonts w:asciiTheme="minorHAnsi" w:hAnsiTheme="minorHAnsi"/>
          <w:color w:val="7030A0"/>
          <w:sz w:val="24"/>
          <w:szCs w:val="24"/>
        </w:rPr>
        <w:t xml:space="preserve">Reservierung unter: </w:t>
      </w:r>
      <w:hyperlink r:id="rId6" w:history="1">
        <w:r w:rsidR="00D64773" w:rsidRPr="00016B25">
          <w:rPr>
            <w:rStyle w:val="Hyperlink0"/>
            <w:rFonts w:asciiTheme="minorHAnsi" w:hAnsiTheme="minorHAnsi"/>
            <w:color w:val="7030A0"/>
            <w:sz w:val="24"/>
            <w:szCs w:val="24"/>
          </w:rPr>
          <w:t>ars.aperta@gmail.com</w:t>
        </w:r>
      </w:hyperlink>
    </w:p>
    <w:p w14:paraId="47D5673C" w14:textId="77777777" w:rsidR="00D64773" w:rsidRPr="00016B25" w:rsidRDefault="00D64773">
      <w:pPr>
        <w:pStyle w:val="Body"/>
        <w:rPr>
          <w:rFonts w:asciiTheme="minorHAnsi" w:eastAsia="Avenir Medium" w:hAnsiTheme="minorHAnsi" w:cs="Avenir Medium"/>
          <w:color w:val="7030A0"/>
          <w:sz w:val="24"/>
          <w:szCs w:val="24"/>
        </w:rPr>
      </w:pPr>
    </w:p>
    <w:p w14:paraId="60E63CB7" w14:textId="77777777" w:rsidR="00D64773" w:rsidRPr="00016B25" w:rsidRDefault="00000000">
      <w:pPr>
        <w:pStyle w:val="Body"/>
        <w:rPr>
          <w:rFonts w:asciiTheme="minorHAnsi" w:eastAsia="Avenir Book Oblique" w:hAnsiTheme="minorHAnsi" w:cs="Avenir Book Oblique"/>
          <w:color w:val="7030A0"/>
          <w:sz w:val="24"/>
          <w:szCs w:val="24"/>
        </w:rPr>
      </w:pPr>
      <w:r w:rsidRPr="00016B25">
        <w:rPr>
          <w:rFonts w:asciiTheme="minorHAnsi" w:hAnsiTheme="minorHAnsi"/>
          <w:color w:val="7030A0"/>
          <w:sz w:val="24"/>
          <w:szCs w:val="24"/>
        </w:rPr>
        <w:t>=&gt; Alle Gäste mit vorheriger Reservierung erhalten vorab eine digitale Begleitbroschüre mit zusätzlichen Materialien, Kontexten und Informationen zu den aufgeführten Werken.</w:t>
      </w:r>
    </w:p>
    <w:p w14:paraId="7BB4231A" w14:textId="77777777" w:rsidR="00D64773" w:rsidRPr="00016B25" w:rsidRDefault="00D64773">
      <w:pPr>
        <w:pStyle w:val="Body"/>
        <w:rPr>
          <w:rFonts w:asciiTheme="minorHAnsi" w:eastAsia="Avenir Book" w:hAnsiTheme="minorHAnsi" w:cs="Avenir Book"/>
          <w:color w:val="997C00" w:themeColor="accent4" w:themeShade="80"/>
          <w:sz w:val="24"/>
          <w:szCs w:val="24"/>
        </w:rPr>
      </w:pPr>
    </w:p>
    <w:p w14:paraId="48B3887E" w14:textId="77777777" w:rsidR="00D64773" w:rsidRPr="00016B25" w:rsidRDefault="00000000">
      <w:pPr>
        <w:pStyle w:val="Body"/>
        <w:rPr>
          <w:rFonts w:asciiTheme="minorHAnsi" w:eastAsia="Avenir Book" w:hAnsiTheme="minorHAnsi" w:cs="Avenir Book"/>
          <w:b/>
          <w:bCs/>
          <w:sz w:val="24"/>
          <w:szCs w:val="24"/>
        </w:rPr>
      </w:pPr>
      <w:r w:rsidRPr="00016B25">
        <w:rPr>
          <w:rFonts w:asciiTheme="minorHAnsi" w:hAnsiTheme="minorHAnsi"/>
          <w:b/>
          <w:bCs/>
          <w:sz w:val="24"/>
          <w:szCs w:val="24"/>
        </w:rPr>
        <w:t xml:space="preserve">  Teilnehmende Künstler:</w:t>
      </w:r>
    </w:p>
    <w:p w14:paraId="5E3F8814" w14:textId="77777777" w:rsidR="00D64773" w:rsidRPr="00016B25" w:rsidRDefault="00000000">
      <w:pPr>
        <w:pStyle w:val="Body"/>
        <w:rPr>
          <w:rFonts w:asciiTheme="minorHAnsi" w:eastAsia="Avenir Book" w:hAnsiTheme="minorHAnsi" w:cs="Avenir Book"/>
          <w:sz w:val="24"/>
          <w:szCs w:val="24"/>
        </w:rPr>
      </w:pPr>
      <w:r w:rsidRPr="00016B25">
        <w:rPr>
          <w:rFonts w:asciiTheme="minorHAnsi" w:hAnsiTheme="minorHAnsi"/>
          <w:sz w:val="24"/>
          <w:szCs w:val="24"/>
        </w:rPr>
        <w:t>- Sebastian Berweck (Keys, Elektronik)</w:t>
      </w:r>
    </w:p>
    <w:p w14:paraId="46544E5E" w14:textId="77777777" w:rsidR="00D64773" w:rsidRPr="00016B25" w:rsidRDefault="00000000">
      <w:pPr>
        <w:pStyle w:val="Body"/>
        <w:rPr>
          <w:rFonts w:asciiTheme="minorHAnsi" w:eastAsia="Avenir Book" w:hAnsiTheme="minorHAnsi" w:cs="Avenir Book"/>
          <w:sz w:val="24"/>
          <w:szCs w:val="24"/>
        </w:rPr>
      </w:pPr>
      <w:r w:rsidRPr="00016B25">
        <w:rPr>
          <w:rFonts w:asciiTheme="minorHAnsi" w:hAnsiTheme="minorHAnsi"/>
          <w:sz w:val="24"/>
          <w:szCs w:val="24"/>
        </w:rPr>
        <w:t>- Damian Marhulets  (E-Git., Elektronik)</w:t>
      </w:r>
    </w:p>
    <w:p w14:paraId="2B4F4397" w14:textId="77777777" w:rsidR="00D64773" w:rsidRDefault="00D64773">
      <w:pPr>
        <w:pStyle w:val="Body"/>
        <w:jc w:val="both"/>
        <w:rPr>
          <w:rFonts w:ascii="Avenir Book" w:eastAsia="Avenir Book" w:hAnsi="Avenir Book" w:cs="Avenir Book"/>
          <w:sz w:val="24"/>
          <w:szCs w:val="24"/>
        </w:rPr>
      </w:pPr>
    </w:p>
    <w:p w14:paraId="1AE0D0B9" w14:textId="1E24FD02" w:rsidR="00D64773" w:rsidRPr="00016B25" w:rsidRDefault="00000000">
      <w:pPr>
        <w:pStyle w:val="Body"/>
        <w:jc w:val="both"/>
        <w:rPr>
          <w:rFonts w:asciiTheme="minorHAnsi" w:eastAsia="Avenir Book" w:hAnsiTheme="minorHAnsi" w:cs="Avenir Book"/>
          <w:sz w:val="24"/>
          <w:szCs w:val="24"/>
        </w:rPr>
      </w:pPr>
      <w:r w:rsidRPr="00016B25">
        <w:rPr>
          <w:rFonts w:asciiTheme="minorHAnsi" w:hAnsiTheme="minorHAnsi"/>
          <w:sz w:val="24"/>
          <w:szCs w:val="24"/>
        </w:rPr>
        <w:t>Ausgangspunkt der Konzertreihe ist das Konzept der „Morphology of Miracles</w:t>
      </w:r>
      <w:r w:rsidRPr="00016B25">
        <w:rPr>
          <w:rFonts w:asciiTheme="minorHAnsi" w:hAnsiTheme="minorHAnsi"/>
          <w:sz w:val="24"/>
          <w:szCs w:val="24"/>
          <w:rtl/>
          <w:lang w:val="ar-SA"/>
        </w:rPr>
        <w:t>“</w:t>
      </w:r>
      <w:r w:rsidRPr="00016B25">
        <w:rPr>
          <w:rFonts w:asciiTheme="minorHAnsi" w:hAnsiTheme="minorHAnsi"/>
          <w:sz w:val="24"/>
          <w:szCs w:val="24"/>
        </w:rPr>
        <w:t xml:space="preserve"> des franz</w:t>
      </w:r>
      <w:r w:rsidRPr="00016B25">
        <w:rPr>
          <w:rFonts w:asciiTheme="minorHAnsi" w:hAnsiTheme="minorHAnsi"/>
          <w:sz w:val="24"/>
          <w:szCs w:val="24"/>
          <w:lang w:val="sv-SE"/>
        </w:rPr>
        <w:t>ö</w:t>
      </w:r>
      <w:r w:rsidRPr="00016B25">
        <w:rPr>
          <w:rFonts w:asciiTheme="minorHAnsi" w:hAnsiTheme="minorHAnsi"/>
          <w:sz w:val="24"/>
          <w:szCs w:val="24"/>
        </w:rPr>
        <w:t xml:space="preserve">sisch-amerikanischen Forschers </w:t>
      </w:r>
      <w:r w:rsidRPr="00016B25">
        <w:rPr>
          <w:rFonts w:asciiTheme="minorHAnsi" w:hAnsiTheme="minorHAnsi"/>
          <w:i/>
          <w:iCs/>
          <w:sz w:val="24"/>
          <w:szCs w:val="24"/>
        </w:rPr>
        <w:t>Jacques Vallée</w:t>
      </w:r>
      <w:r w:rsidRPr="00016B25">
        <w:rPr>
          <w:rFonts w:asciiTheme="minorHAnsi" w:hAnsiTheme="minorHAnsi"/>
          <w:sz w:val="24"/>
          <w:szCs w:val="24"/>
        </w:rPr>
        <w:t xml:space="preserve">: die Idee, dass das Übernatürliche und Unerklärliche die Menschheit zwar beständig durch ihre Geschichte begleitet, seine Erscheinungsformen jedoch fortlaufend verändert und an die jeweilige Zeit angepasst werden. Mystische Visionen, </w:t>
      </w:r>
      <w:r w:rsidR="00016B25" w:rsidRPr="00016B25">
        <w:rPr>
          <w:rFonts w:asciiTheme="minorHAnsi" w:hAnsiTheme="minorHAnsi"/>
          <w:sz w:val="24"/>
          <w:szCs w:val="24"/>
        </w:rPr>
        <w:t>religiös</w:t>
      </w:r>
      <w:r w:rsidRPr="00016B25">
        <w:rPr>
          <w:rFonts w:asciiTheme="minorHAnsi" w:hAnsiTheme="minorHAnsi"/>
          <w:sz w:val="24"/>
          <w:szCs w:val="24"/>
        </w:rPr>
        <w:t>e Wunder, paranormale Begegnungen oder moderne UFO-Narrative erscheinen demnach weniger als voneinander getrennte Phänomene denn als kulturell wandelbare Ausdrucksformen einer konstanten menschlichen Erfahrung.</w:t>
      </w:r>
    </w:p>
    <w:p w14:paraId="3DB40D05" w14:textId="77777777" w:rsidR="00D64773" w:rsidRPr="00016B25" w:rsidRDefault="00D64773">
      <w:pPr>
        <w:pStyle w:val="Body"/>
        <w:jc w:val="both"/>
        <w:rPr>
          <w:rFonts w:asciiTheme="minorHAnsi" w:eastAsia="Avenir Book" w:hAnsiTheme="minorHAnsi" w:cs="Avenir Book"/>
          <w:sz w:val="24"/>
          <w:szCs w:val="24"/>
        </w:rPr>
      </w:pPr>
    </w:p>
    <w:p w14:paraId="3F643B0E" w14:textId="77777777" w:rsidR="00D64773" w:rsidRDefault="00000000">
      <w:pPr>
        <w:pStyle w:val="Body"/>
        <w:jc w:val="both"/>
        <w:rPr>
          <w:rFonts w:ascii="Avenir Book" w:eastAsia="Avenir Book" w:hAnsi="Avenir Book" w:cs="Avenir Book"/>
          <w:sz w:val="24"/>
          <w:szCs w:val="24"/>
        </w:rPr>
      </w:pPr>
      <w:r w:rsidRPr="00016B25">
        <w:rPr>
          <w:rFonts w:asciiTheme="minorHAnsi" w:hAnsiTheme="minorHAnsi"/>
          <w:sz w:val="24"/>
          <w:szCs w:val="24"/>
        </w:rPr>
        <w:t>In einer Reihe neuer Kompositionen untersucht Damian Marhulets einige dieser Zusammenhänge musikalisch und visuell. Die Werke bewegen sich dabei zwischen digitalen Videospiel-Partituren, Doom-Metal-Strukturen, vergessenen Seifenopern-Narrativen und elektronischer Klangkunst. Dabei geht es nicht darum, ontologische Spekulationen zu betreiben, sondern mithilfe der Kunst zur Anerkennung menschlicher phänomenologischer Erfahrung beizutragen — jener Erfahrungen also, die sich trotz ihrer Widersprüchlichkeit durch Zeiten und Kulturen hindurch bemerkenswert hartnäckig erhalten.</w:t>
      </w:r>
      <w:r>
        <w:rPr>
          <w:rFonts w:ascii="Avenir Book" w:eastAsia="Avenir Book" w:hAnsi="Avenir Book" w:cs="Avenir Book"/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4E75FD65" wp14:editId="1F86FD0F">
                <wp:simplePos x="0" y="0"/>
                <wp:positionH relativeFrom="margin">
                  <wp:posOffset>6349</wp:posOffset>
                </wp:positionH>
                <wp:positionV relativeFrom="line">
                  <wp:posOffset>231316</wp:posOffset>
                </wp:positionV>
                <wp:extent cx="6838913" cy="0"/>
                <wp:effectExtent l="0" t="0" r="0" b="0"/>
                <wp:wrapNone/>
                <wp:docPr id="1073741827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13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929292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0.5pt;margin-top:18.2pt;width:538.5pt;height:0.0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929292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</w:p>
    <w:p w14:paraId="033A5172" w14:textId="77777777" w:rsidR="00D64773" w:rsidRDefault="00D64773">
      <w:pPr>
        <w:pStyle w:val="Body"/>
        <w:jc w:val="both"/>
        <w:rPr>
          <w:rFonts w:ascii="Avenir Book" w:eastAsia="Avenir Book" w:hAnsi="Avenir Book" w:cs="Avenir Book"/>
          <w:sz w:val="24"/>
          <w:szCs w:val="24"/>
        </w:rPr>
      </w:pPr>
    </w:p>
    <w:p w14:paraId="6F532F38" w14:textId="77777777" w:rsidR="00D64773" w:rsidRPr="00016B25" w:rsidRDefault="00D64773">
      <w:pPr>
        <w:pStyle w:val="Body"/>
        <w:jc w:val="both"/>
        <w:rPr>
          <w:rFonts w:asciiTheme="minorHAnsi" w:eastAsia="Avenir Book" w:hAnsiTheme="minorHAnsi" w:cs="Avenir Book"/>
          <w:sz w:val="24"/>
          <w:szCs w:val="24"/>
        </w:rPr>
      </w:pPr>
    </w:p>
    <w:p w14:paraId="65476903" w14:textId="77777777" w:rsidR="00D64773" w:rsidRPr="00016B25" w:rsidRDefault="00000000">
      <w:pPr>
        <w:pStyle w:val="Body"/>
        <w:jc w:val="both"/>
        <w:rPr>
          <w:rFonts w:asciiTheme="minorHAnsi" w:eastAsia="Avenir Book" w:hAnsiTheme="minorHAnsi" w:cs="Avenir Book"/>
          <w:sz w:val="24"/>
          <w:szCs w:val="24"/>
        </w:rPr>
      </w:pPr>
      <w:r w:rsidRPr="00016B25">
        <w:rPr>
          <w:rFonts w:asciiTheme="minorHAnsi" w:hAnsiTheme="minorHAnsi"/>
          <w:sz w:val="24"/>
          <w:szCs w:val="24"/>
        </w:rPr>
        <w:t>Eine Veranstaltung von Ars Aperta - Hannover e.V.</w:t>
      </w:r>
    </w:p>
    <w:p w14:paraId="7F94779F" w14:textId="58ABC53F" w:rsidR="00D64773" w:rsidRPr="00016B25" w:rsidRDefault="00CC0193" w:rsidP="00CC0193">
      <w:pPr>
        <w:pStyle w:val="Body"/>
        <w:rPr>
          <w:rFonts w:asciiTheme="minorHAnsi" w:hAnsiTheme="minorHAnsi"/>
        </w:rPr>
      </w:pPr>
      <w:r w:rsidRPr="00016B25">
        <w:rPr>
          <w:rFonts w:asciiTheme="minorHAnsi" w:hAnsiTheme="minorHAnsi"/>
          <w:sz w:val="24"/>
          <w:szCs w:val="24"/>
        </w:rPr>
        <w:br/>
        <w:t xml:space="preserve">Gefördert durch: </w:t>
      </w:r>
      <w:r w:rsidRPr="00016B25">
        <w:rPr>
          <w:rFonts w:asciiTheme="minorHAnsi" w:hAnsiTheme="minorHAnsi"/>
          <w:sz w:val="24"/>
          <w:szCs w:val="24"/>
        </w:rPr>
        <w:br/>
        <w:t>Stiftung Niedersachsen, Musik21 Niedersachsen, Niedersächsische Sparkassenstiftung</w:t>
      </w:r>
    </w:p>
    <w:sectPr w:rsidR="00D64773" w:rsidRPr="00016B25"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734DC" w14:textId="77777777" w:rsidR="0051199F" w:rsidRDefault="0051199F">
      <w:r>
        <w:separator/>
      </w:r>
    </w:p>
  </w:endnote>
  <w:endnote w:type="continuationSeparator" w:id="0">
    <w:p w14:paraId="5C117366" w14:textId="77777777" w:rsidR="0051199F" w:rsidRDefault="00511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GT Cinetype Trial Rg">
    <w:altName w:val="Cambria"/>
    <w:charset w:val="00"/>
    <w:family w:val="roman"/>
    <w:pitch w:val="default"/>
  </w:font>
  <w:font w:name="Avenir Medium">
    <w:altName w:val="Cambria"/>
    <w:charset w:val="00"/>
    <w:family w:val="roman"/>
    <w:pitch w:val="default"/>
  </w:font>
  <w:font w:name="Avenir Book Oblique">
    <w:altName w:val="Tw Cen MT"/>
    <w:charset w:val="00"/>
    <w:family w:val="roman"/>
    <w:pitch w:val="default"/>
  </w:font>
  <w:font w:name="Avenir Book">
    <w:altName w:val="Tw Cen MT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1E587" w14:textId="74199D98" w:rsidR="00D64773" w:rsidRDefault="00960F16">
    <w:pPr>
      <w:pStyle w:val="HeaderFooter"/>
      <w:tabs>
        <w:tab w:val="clear" w:pos="9020"/>
        <w:tab w:val="center" w:pos="4819"/>
        <w:tab w:val="right" w:pos="9638"/>
      </w:tabs>
    </w:pPr>
    <w:r>
      <w:rPr>
        <w:rFonts w:ascii="Arial" w:hAnsi="Arial"/>
        <w:color w:val="0433FF"/>
        <w:sz w:val="20"/>
        <w:szCs w:val="20"/>
      </w:rPr>
      <w:t>Kontakt: ars.aperta@gmail.com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AD483" w14:textId="77777777" w:rsidR="0051199F" w:rsidRDefault="0051199F">
      <w:r>
        <w:separator/>
      </w:r>
    </w:p>
  </w:footnote>
  <w:footnote w:type="continuationSeparator" w:id="0">
    <w:p w14:paraId="38D3A786" w14:textId="77777777" w:rsidR="0051199F" w:rsidRDefault="00511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773"/>
    <w:rsid w:val="00016B25"/>
    <w:rsid w:val="00070AA8"/>
    <w:rsid w:val="001F1137"/>
    <w:rsid w:val="00345678"/>
    <w:rsid w:val="003A3BD6"/>
    <w:rsid w:val="003E2259"/>
    <w:rsid w:val="00497C15"/>
    <w:rsid w:val="0051199F"/>
    <w:rsid w:val="005C0DC5"/>
    <w:rsid w:val="00611801"/>
    <w:rsid w:val="006B2991"/>
    <w:rsid w:val="007A519F"/>
    <w:rsid w:val="00960F16"/>
    <w:rsid w:val="00A40BBD"/>
    <w:rsid w:val="00A974A7"/>
    <w:rsid w:val="00C04520"/>
    <w:rsid w:val="00CC0193"/>
    <w:rsid w:val="00D2723B"/>
    <w:rsid w:val="00D64773"/>
    <w:rsid w:val="00DF3862"/>
    <w:rsid w:val="00E3384B"/>
    <w:rsid w:val="00EA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D3EE4"/>
  <w15:docId w15:val="{3F1AD277-51D9-482F-96B2-B44EED7B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60F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60F16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960F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60F1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s.apert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pahli</dc:creator>
  <cp:lastModifiedBy>pahli</cp:lastModifiedBy>
  <cp:revision>6</cp:revision>
  <cp:lastPrinted>2026-05-14T10:41:00Z</cp:lastPrinted>
  <dcterms:created xsi:type="dcterms:W3CDTF">2026-06-05T10:59:00Z</dcterms:created>
  <dcterms:modified xsi:type="dcterms:W3CDTF">2026-06-05T11:09:00Z</dcterms:modified>
</cp:coreProperties>
</file>